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D0" w:rsidRPr="001A10AB" w:rsidRDefault="001006BB" w:rsidP="00D96A7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  <w:lang w:eastAsia="ru-RU"/>
        </w:rPr>
      </w:pPr>
      <w:bookmarkStart w:id="0" w:name="_GoBack"/>
      <w:r w:rsidRPr="001A10AB"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  <w:lang w:eastAsia="ru-RU"/>
        </w:rPr>
        <w:t>ПФР</w:t>
      </w:r>
      <w:r w:rsidRPr="001A10AB"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  <w:lang w:eastAsia="ru-RU"/>
        </w:rPr>
        <w:t>проводит заблаговременную работу</w:t>
      </w:r>
      <w:r w:rsidR="006659D0" w:rsidRPr="001A10AB">
        <w:rPr>
          <w:rFonts w:ascii="Arial" w:eastAsia="Times New Roman" w:hAnsi="Arial" w:cs="Arial"/>
          <w:b/>
          <w:color w:val="000000" w:themeColor="text1"/>
          <w:kern w:val="36"/>
          <w:sz w:val="36"/>
          <w:szCs w:val="36"/>
          <w:lang w:eastAsia="ru-RU"/>
        </w:rPr>
        <w:t xml:space="preserve"> с будущими пенсионерами</w:t>
      </w:r>
    </w:p>
    <w:bookmarkEnd w:id="0"/>
    <w:p w:rsidR="00D96A73" w:rsidRPr="001A10AB" w:rsidRDefault="00D96A73" w:rsidP="00D96A73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Пресс-релиз</w:t>
      </w:r>
    </w:p>
    <w:p w:rsidR="00D96A73" w:rsidRPr="001A10AB" w:rsidRDefault="00690E7C" w:rsidP="00D96A73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 w:rsidRPr="001006B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2</w:t>
      </w:r>
      <w:r w:rsidR="003114D2" w:rsidRPr="001006B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1</w:t>
      </w:r>
      <w:r w:rsidR="00D96A73"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.</w:t>
      </w:r>
      <w:r w:rsidR="00114BC0"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0</w:t>
      </w:r>
      <w:r w:rsidR="001A10AB" w:rsidRPr="007D544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7</w:t>
      </w:r>
      <w:r w:rsidR="00D96A73"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.202</w:t>
      </w:r>
      <w:r w:rsidR="00946C73"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2</w:t>
      </w:r>
      <w:r w:rsidR="00D96A73"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г.</w:t>
      </w:r>
    </w:p>
    <w:p w:rsidR="00D96A73" w:rsidRPr="001A10AB" w:rsidRDefault="00D96A73" w:rsidP="00D96A73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 w:rsidRPr="001A10AB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Нальчик. КБР.</w:t>
      </w:r>
    </w:p>
    <w:p w:rsidR="00D96A73" w:rsidRPr="001A10AB" w:rsidRDefault="00D96A73" w:rsidP="00D96A73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:rsidR="006659D0" w:rsidRPr="001A10AB" w:rsidRDefault="006659D0" w:rsidP="00D96A7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A10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ПФР уделяет большое значение заблаговременной работе с будущими пенсионерами. Такая работа начинается с гражданами за пять лет до наступления пенсионного возраста.</w:t>
      </w:r>
    </w:p>
    <w:p w:rsidR="006659D0" w:rsidRPr="001A10AB" w:rsidRDefault="006659D0" w:rsidP="00D96A7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Заблаговременная работа – это комплекс мер по обеспечению полноты и достоверности сведений о пенсионных правах, учтенных для своевременного и правильного назначения пенсии. Благодаря такой работе специалисты ПФР 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предварительно (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 несколько 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лет,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месяцев до 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наступления права на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пенси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ю)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формируют макеты пенсионных дел, оказывают содействие в истребовании документов о страховом стаже или заработке от страхователей (органов ЗАГС, архивных и иных учреждениях). По результатам заблаговременно проведенных работ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знакомят 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граждан, проживающих в своем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е,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 сведениями, отраженными на их индивидуальном лицевом счете</w:t>
      </w:r>
      <w:r w:rsidR="00997792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6338DC" w:rsidRPr="001A10AB" w:rsidRDefault="006659D0" w:rsidP="00D96A7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Заблаговременная работа позволяет заранее подтвердить все необходимые обстоятельства, влияющие на пенсию, и занести их на индивидуальный лицевой счет будущего пенсионера</w:t>
      </w:r>
      <w:r w:rsidR="006338DC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659D0" w:rsidRPr="001A10AB" w:rsidRDefault="006338DC" w:rsidP="00D96A7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Также</w:t>
      </w:r>
      <w:r w:rsidR="006659D0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застрахованные лица имеют возможность </w:t>
      </w:r>
      <w:r w:rsidR="006659D0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ознакомиться с актуализированными сведениями своего индивидуального лицевого счета в Личном кабинете на сайте ПФР.</w:t>
      </w:r>
    </w:p>
    <w:p w:rsidR="006659D0" w:rsidRPr="001A10AB" w:rsidRDefault="006659D0" w:rsidP="00D96A73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результате проведения такой работы пенсия назначается по имеющимся в Пенсионном фонде уточненным данным лицевого счета. За месяц до наступления пенсионного возраста достаточно подать личное заявление на установление пенсии. Если гражданин </w:t>
      </w:r>
      <w:r w:rsidR="006338DC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согласен со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сведени</w:t>
      </w:r>
      <w:r w:rsidR="006338DC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ями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своем индивидуальном лицевом счете, он может подать заявление в электронном виде в Личном кабинете гражданина на официальном сайте ПФР, проставив отметку о согласии с принятием решения о назначении пенсии по имеющимся сведениям без предоставления дополнительных документов о стаже и заработке.</w:t>
      </w:r>
    </w:p>
    <w:p w:rsidR="006659D0" w:rsidRPr="001A10AB" w:rsidRDefault="006659D0" w:rsidP="00D96A7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Напомним, по вопросу заблаговременной подготовки документов можно обращаться в клиентские службы пенсионного ведомства по предварительной записи по телефону горячей линии, также через Личный кабинет гражданина на сайте Пенсионного фонда. Можно обратиться и к своему работодателю, чтобы он направил в ПФР </w:t>
      </w:r>
      <w:r w:rsidR="003A5F55" w:rsidRPr="00690E7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документы для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будущего </w:t>
      </w:r>
      <w:r w:rsidR="003A5F55"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макет</w:t>
      </w:r>
      <w:r w:rsidR="003A5F5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 </w:t>
      </w:r>
      <w:r w:rsidRPr="001A10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пенсионного дела по электронным каналам связи</w:t>
      </w:r>
      <w:r w:rsidRPr="001A10A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:rsidR="00312FD7" w:rsidRPr="001A10AB" w:rsidRDefault="00312FD7" w:rsidP="00312FD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</w:p>
    <w:p w:rsidR="006E256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Пресс-служба</w:t>
      </w:r>
    </w:p>
    <w:p w:rsidR="006E256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Отделения Пенсионного фонда РФ</w:t>
      </w:r>
    </w:p>
    <w:p w:rsidR="006E256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по Кабардино-Балкарской республике</w:t>
      </w:r>
    </w:p>
    <w:p w:rsidR="006E256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г. Нальчик, ул. Чернышевского 181 «а»,</w:t>
      </w:r>
    </w:p>
    <w:p w:rsidR="00907930" w:rsidRPr="001A10AB" w:rsidRDefault="00907930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Веб-сайт:</w:t>
      </w:r>
      <w:r w:rsidRPr="001A10AB">
        <w:rPr>
          <w:color w:val="000000" w:themeColor="text1"/>
        </w:rPr>
        <w:t xml:space="preserve"> </w:t>
      </w: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https://pfr.gov.ru/branches/kbr/ </w:t>
      </w:r>
    </w:p>
    <w:p w:rsidR="006E256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  <w:lang w:val="en-US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  <w:lang w:val="en-US"/>
        </w:rPr>
        <w:t>E-mail: opfr_po_kbr@mail.ru</w:t>
      </w:r>
    </w:p>
    <w:p w:rsidR="00312FD7" w:rsidRPr="001A10AB" w:rsidRDefault="006E2567" w:rsidP="006E2567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1A10AB">
        <w:rPr>
          <w:rFonts w:ascii="Arial" w:eastAsia="Calibri" w:hAnsi="Arial" w:cs="Arial"/>
          <w:b/>
          <w:color w:val="000000" w:themeColor="text1"/>
          <w:sz w:val="24"/>
          <w:szCs w:val="28"/>
        </w:rPr>
        <w:t>ВК: https://vk.com/pfr.kabardinobalkariya</w:t>
      </w:r>
    </w:p>
    <w:p w:rsidR="0001733F" w:rsidRPr="001A10AB" w:rsidRDefault="0001733F" w:rsidP="00312FD7">
      <w:pPr>
        <w:spacing w:after="0"/>
        <w:ind w:firstLine="4962"/>
        <w:rPr>
          <w:color w:val="000000" w:themeColor="text1"/>
        </w:rPr>
      </w:pPr>
    </w:p>
    <w:sectPr w:rsidR="0001733F" w:rsidRPr="001A10AB" w:rsidSect="00D96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D0"/>
    <w:rsid w:val="0001733F"/>
    <w:rsid w:val="000436A6"/>
    <w:rsid w:val="001006BB"/>
    <w:rsid w:val="00114BC0"/>
    <w:rsid w:val="001A10AB"/>
    <w:rsid w:val="002A2F4A"/>
    <w:rsid w:val="0031146A"/>
    <w:rsid w:val="003114D2"/>
    <w:rsid w:val="00312FD7"/>
    <w:rsid w:val="003A5F55"/>
    <w:rsid w:val="005103C6"/>
    <w:rsid w:val="00540B9D"/>
    <w:rsid w:val="006338DC"/>
    <w:rsid w:val="00662E91"/>
    <w:rsid w:val="006659D0"/>
    <w:rsid w:val="00690E7C"/>
    <w:rsid w:val="006E2567"/>
    <w:rsid w:val="007D5449"/>
    <w:rsid w:val="00907930"/>
    <w:rsid w:val="00917360"/>
    <w:rsid w:val="00946C73"/>
    <w:rsid w:val="00997792"/>
    <w:rsid w:val="00BA4491"/>
    <w:rsid w:val="00D96A73"/>
    <w:rsid w:val="00DA1725"/>
    <w:rsid w:val="00E7291F"/>
    <w:rsid w:val="00E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5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5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5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5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7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Михаил В. Битоков</cp:lastModifiedBy>
  <cp:revision>5</cp:revision>
  <dcterms:created xsi:type="dcterms:W3CDTF">2022-07-19T11:19:00Z</dcterms:created>
  <dcterms:modified xsi:type="dcterms:W3CDTF">2022-07-21T14:28:00Z</dcterms:modified>
</cp:coreProperties>
</file>