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DF" w:rsidRPr="00307F7C" w:rsidRDefault="00463EDF" w:rsidP="00463EDF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463EDF">
        <w:rPr>
          <w:rFonts w:ascii="Arial" w:hAnsi="Arial" w:cs="Arial"/>
          <w:b/>
          <w:color w:val="404040" w:themeColor="text1" w:themeTint="BF"/>
          <w:sz w:val="36"/>
          <w:szCs w:val="36"/>
        </w:rPr>
        <w:t>Взнос по программе софинансирования пенсионных накоплений необходимо сделать до конца года</w:t>
      </w:r>
    </w:p>
    <w:p w:rsidR="0032449A" w:rsidRPr="006C5794" w:rsidRDefault="0032449A" w:rsidP="0032449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32449A" w:rsidRPr="006C5794" w:rsidRDefault="0032449A" w:rsidP="0032449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1</w:t>
      </w:r>
      <w:r w:rsidR="007A53B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7</w:t>
      </w:r>
      <w:bookmarkStart w:id="0" w:name="_GoBack"/>
      <w:bookmarkEnd w:id="0"/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12</w:t>
      </w: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.201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9</w:t>
      </w: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</w:p>
    <w:p w:rsidR="0032449A" w:rsidRPr="00307F7C" w:rsidRDefault="0032449A" w:rsidP="0032449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C579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32449A" w:rsidRPr="00307F7C" w:rsidRDefault="0032449A" w:rsidP="0032449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463EDF" w:rsidRPr="00463EDF" w:rsidRDefault="00463EDF" w:rsidP="00463EDF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463EDF">
        <w:rPr>
          <w:rFonts w:ascii="Arial" w:hAnsi="Arial" w:cs="Arial"/>
          <w:b/>
          <w:color w:val="404040" w:themeColor="text1" w:themeTint="BF"/>
          <w:sz w:val="24"/>
          <w:szCs w:val="24"/>
        </w:rPr>
        <w:t>Пенсионный фонд России напоминает участникам программы государственного софинансирования пенсионных накоплений о том, что взнос на будущую пенсию необходимо сделать до конца года. В этом случае государство обеспечит софинансирование взноса в зависимости от его размера и при условии, что он составит не менее 2 тыс. рублей в год.</w:t>
      </w:r>
    </w:p>
    <w:p w:rsidR="00463EDF" w:rsidRPr="00463EDF" w:rsidRDefault="00463EDF" w:rsidP="00463ED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463EDF">
        <w:rPr>
          <w:rFonts w:ascii="Arial" w:hAnsi="Arial" w:cs="Arial"/>
          <w:color w:val="404040" w:themeColor="text1" w:themeTint="BF"/>
          <w:sz w:val="24"/>
          <w:szCs w:val="24"/>
        </w:rPr>
        <w:t>Взнос по программе уплачивается самостоятельно или через работодателя. При самостоятельной уплате квитанцию с необходимыми реквизитами можно получить в банке, клиентской службе ПФР по месту жительства либо сформировать с помощью электронного сервиса ПФР.</w:t>
      </w:r>
    </w:p>
    <w:p w:rsidR="00463EDF" w:rsidRPr="00463EDF" w:rsidRDefault="00463EDF" w:rsidP="00463ED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463EDF">
        <w:rPr>
          <w:rFonts w:ascii="Arial" w:hAnsi="Arial" w:cs="Arial"/>
          <w:color w:val="404040" w:themeColor="text1" w:themeTint="BF"/>
          <w:sz w:val="24"/>
          <w:szCs w:val="24"/>
        </w:rPr>
        <w:t>Чтобы сделать взнос через работодателя, участнику необходимо подать в бухгалтерию заявление в произвольной форме с указанием размера платежа в денежной сумме или в процентах от зарплаты.</w:t>
      </w:r>
    </w:p>
    <w:p w:rsidR="00463EDF" w:rsidRPr="00463EDF" w:rsidRDefault="00463EDF" w:rsidP="00463ED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463EDF">
        <w:rPr>
          <w:rFonts w:ascii="Arial" w:hAnsi="Arial" w:cs="Arial"/>
          <w:color w:val="404040" w:themeColor="text1" w:themeTint="BF"/>
          <w:sz w:val="24"/>
          <w:szCs w:val="24"/>
        </w:rPr>
        <w:t>Независимо от того, каким способом перечислены средства, следует помнить, что они не облагаются налогом на доходы физических лиц, поэтому участники программы могут воспользоваться социальным налоговым вычетом на сумму уплаченных взносов.</w:t>
      </w:r>
    </w:p>
    <w:p w:rsidR="00463EDF" w:rsidRPr="00463EDF" w:rsidRDefault="00463EDF" w:rsidP="00463ED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463EDF">
        <w:rPr>
          <w:rFonts w:ascii="Arial" w:hAnsi="Arial" w:cs="Arial"/>
          <w:color w:val="404040" w:themeColor="text1" w:themeTint="BF"/>
          <w:sz w:val="24"/>
          <w:szCs w:val="24"/>
        </w:rPr>
        <w:t>Контролировать формирование средств в рамках программы софинансирования можно через личный кабинет на сайте Пенсионного фонда или портале Госуслуг. В нем отображается вся информация, включая совершенные платежи, поступившее государственное софинансирование и полученный от этих средств инвестиционный доход. Перечисленные сведения также есть в выписках из лицевого счета, которые предоставляются в Пенсионном фонде или многофункциональных центрах, оказывающих такую услугу.</w:t>
      </w:r>
    </w:p>
    <w:p w:rsidR="00463EDF" w:rsidRPr="00463EDF" w:rsidRDefault="00463EDF" w:rsidP="00463ED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463EDF">
        <w:rPr>
          <w:rFonts w:ascii="Arial" w:hAnsi="Arial" w:cs="Arial"/>
          <w:color w:val="404040" w:themeColor="text1" w:themeTint="BF"/>
          <w:sz w:val="24"/>
          <w:szCs w:val="24"/>
        </w:rPr>
        <w:t>Следует отметить, что личные взносы в рамках программы и средства государственного софинансирования входят в общую сумму пенсионных накоплений человека, инвестируются управляющими компаниями и выплачиваются при выходе на пенсию. На сформированные средства распространяются правила правопреемства.</w:t>
      </w:r>
    </w:p>
    <w:p w:rsidR="00463EDF" w:rsidRPr="00463EDF" w:rsidRDefault="00463EDF" w:rsidP="00463ED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463EDF">
        <w:rPr>
          <w:rFonts w:ascii="Arial" w:hAnsi="Arial" w:cs="Arial"/>
          <w:color w:val="404040" w:themeColor="text1" w:themeTint="BF"/>
          <w:sz w:val="24"/>
          <w:szCs w:val="24"/>
        </w:rPr>
        <w:t xml:space="preserve">Работодатели также могут принимать участие в программе софинансирования пенсионных накоплений своих сотрудников. На сумму ежегодного взноса работодателя в пределах 12 тыс. рублей за одного работника не начисляются страховые взносы на обязательное </w:t>
      </w:r>
      <w:r w:rsidRPr="00463EDF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пенсионное страхование. Помимо этого, взносы работодателя включаются в состав расходов, учитываемых при налогообложении прибыли.</w:t>
      </w:r>
    </w:p>
    <w:p w:rsidR="00924688" w:rsidRPr="00307F7C" w:rsidRDefault="00463EDF" w:rsidP="00463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3EDF">
        <w:rPr>
          <w:rFonts w:ascii="Arial" w:hAnsi="Arial" w:cs="Arial"/>
          <w:color w:val="404040" w:themeColor="text1" w:themeTint="BF"/>
          <w:sz w:val="24"/>
          <w:szCs w:val="24"/>
        </w:rPr>
        <w:t xml:space="preserve">Подробную информацию об участии в программе софинансирования пенсионных накоплений можно узнать в специальном разделе на </w:t>
      </w:r>
      <w:r w:rsidRPr="00B54F0A">
        <w:rPr>
          <w:rFonts w:ascii="Arial" w:hAnsi="Arial" w:cs="Arial"/>
          <w:color w:val="404040" w:themeColor="text1" w:themeTint="BF"/>
          <w:sz w:val="24"/>
          <w:szCs w:val="24"/>
        </w:rPr>
        <w:t>сайте Фонда.</w:t>
      </w:r>
    </w:p>
    <w:p w:rsidR="00B54F0A" w:rsidRPr="00307F7C" w:rsidRDefault="00B54F0A" w:rsidP="00463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4F0A" w:rsidRPr="00024B4F" w:rsidRDefault="00B54F0A" w:rsidP="00B54F0A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B54F0A" w:rsidRPr="00024B4F" w:rsidRDefault="00B54F0A" w:rsidP="00B54F0A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54F0A" w:rsidRPr="00024B4F" w:rsidRDefault="00B54F0A" w:rsidP="00B54F0A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54F0A" w:rsidRPr="00024B4F" w:rsidRDefault="00B54F0A" w:rsidP="00B54F0A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г. Нальчик, ул. Пачева 19 «а»,</w:t>
      </w:r>
    </w:p>
    <w:p w:rsidR="00B54F0A" w:rsidRPr="00024B4F" w:rsidRDefault="00B54F0A" w:rsidP="00B54F0A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54F0A" w:rsidRPr="00024B4F" w:rsidRDefault="00B54F0A" w:rsidP="00B54F0A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54F0A" w:rsidRPr="00024B4F" w:rsidRDefault="00B54F0A" w:rsidP="00B54F0A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024B4F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B54F0A" w:rsidRPr="00024B4F" w:rsidRDefault="00B54F0A" w:rsidP="00B54F0A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54F0A" w:rsidRPr="00B54F0A" w:rsidRDefault="00B54F0A" w:rsidP="00463ED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54F0A" w:rsidRPr="00B54F0A" w:rsidSect="00463ED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DF"/>
    <w:rsid w:val="00307F7C"/>
    <w:rsid w:val="0032449A"/>
    <w:rsid w:val="00463EDF"/>
    <w:rsid w:val="007A53B8"/>
    <w:rsid w:val="00924688"/>
    <w:rsid w:val="00B54F0A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F0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54F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F0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54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2301</Characters>
  <Application>Microsoft Office Word</Application>
  <DocSecurity>0</DocSecurity>
  <Lines>19</Lines>
  <Paragraphs>5</Paragraphs>
  <ScaleCrop>false</ScaleCrop>
  <Company>Kraftway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2019-12-11T06:59:00Z</dcterms:created>
  <dcterms:modified xsi:type="dcterms:W3CDTF">2019-12-17T06:42:00Z</dcterms:modified>
</cp:coreProperties>
</file>